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7319" w:rsidRDefault="00796D8D" w:rsidP="00067319">
      <w:pPr>
        <w:jc w:val="center"/>
        <w:rPr>
          <w:sz w:val="72"/>
          <w:szCs w:val="72"/>
        </w:rPr>
      </w:pPr>
      <w:r w:rsidRPr="00796D8D">
        <w:rPr>
          <w:sz w:val="72"/>
          <w:szCs w:val="72"/>
        </w:rPr>
        <w:t>Supramoleküler kimya</w:t>
      </w:r>
    </w:p>
    <w:p w:rsidR="00796D8D" w:rsidRDefault="0077776E" w:rsidP="00067319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1987 yılında Nobel kimya ödülü </w:t>
      </w:r>
      <w:r w:rsidR="00796D8D">
        <w:rPr>
          <w:sz w:val="24"/>
          <w:szCs w:val="24"/>
        </w:rPr>
        <w:t>Donald j. Cram (ABD), Jean-Marie Lehn (FRANSA) ve Charles j. Pedersen (ABD)</w:t>
      </w:r>
      <w:r>
        <w:rPr>
          <w:sz w:val="24"/>
          <w:szCs w:val="24"/>
        </w:rPr>
        <w:t>’e  verildi. Bu üç bilim insanı yapmış oldukları çalışmalar neticesinde bu ödülü almakla kalmamış aynı zamanda supramoleküler kimyanın da temellerini oluşturmuşlardır.</w:t>
      </w:r>
    </w:p>
    <w:p w:rsidR="00692366" w:rsidRDefault="000F4462" w:rsidP="00692366">
      <w:pPr>
        <w:jc w:val="both"/>
      </w:pPr>
      <w:r>
        <w:t>Supramoleküler kimya</w:t>
      </w:r>
      <w:r w:rsidR="00C57FCC">
        <w:t>;</w:t>
      </w:r>
      <w:r>
        <w:t xml:space="preserve"> iyon-iyon etkileşimleri, dipol-dipol etkileşimleri, hidrojen bağı,</w:t>
      </w:r>
      <w:r w:rsidR="00C57FCC">
        <w:t xml:space="preserve"> </w:t>
      </w:r>
      <w:r>
        <w:t>katyon-</w:t>
      </w:r>
      <w:r w:rsidRPr="00C57FCC">
        <w:rPr>
          <w:rFonts w:ascii="Helvetica" w:hAnsi="Helvetica" w:cs="Helvetica"/>
          <w:b/>
          <w:bCs/>
          <w:i/>
          <w:color w:val="222222"/>
          <w:u w:val="single"/>
          <w:shd w:val="clear" w:color="auto" w:fill="FFFFFF"/>
        </w:rPr>
        <w:t>π</w:t>
      </w:r>
      <w:r w:rsidR="00C57FCC" w:rsidRPr="00C57FCC">
        <w:rPr>
          <w:rFonts w:ascii="Helvetica" w:hAnsi="Helvetica" w:cs="Helvetica"/>
          <w:b/>
          <w:bCs/>
          <w:i/>
          <w:color w:val="222222"/>
          <w:u w:val="single"/>
          <w:shd w:val="clear" w:color="auto" w:fill="FFFFFF"/>
        </w:rPr>
        <w:t xml:space="preserve"> </w:t>
      </w:r>
      <w:r w:rsidR="00C57FCC" w:rsidRPr="00C57FCC">
        <w:t>etkileşimleri</w:t>
      </w:r>
      <w:r w:rsidR="00C57FCC">
        <w:t>, anyon-</w:t>
      </w:r>
      <w:r w:rsidR="00C57FCC" w:rsidRPr="00C57FCC">
        <w:rPr>
          <w:rFonts w:ascii="Helvetica" w:hAnsi="Helvetica" w:cs="Helvetica"/>
          <w:b/>
          <w:bCs/>
          <w:i/>
          <w:color w:val="222222"/>
          <w:u w:val="single"/>
          <w:shd w:val="clear" w:color="auto" w:fill="FFFFFF"/>
        </w:rPr>
        <w:t xml:space="preserve"> π</w:t>
      </w:r>
      <w:r w:rsidR="00C57FCC" w:rsidRPr="00C57FCC">
        <w:t xml:space="preserve"> etkileşimleri</w:t>
      </w:r>
      <w:r w:rsidR="00C57FCC">
        <w:t xml:space="preserve">, </w:t>
      </w:r>
      <w:r w:rsidR="00C57FCC" w:rsidRPr="00C57FCC">
        <w:rPr>
          <w:rFonts w:ascii="Helvetica" w:hAnsi="Helvetica" w:cs="Helvetica"/>
          <w:b/>
          <w:bCs/>
          <w:i/>
          <w:color w:val="222222"/>
          <w:u w:val="single"/>
          <w:shd w:val="clear" w:color="auto" w:fill="FFFFFF"/>
        </w:rPr>
        <w:t>π</w:t>
      </w:r>
      <w:r w:rsidR="00C57FCC">
        <w:rPr>
          <w:rFonts w:ascii="Helvetica" w:hAnsi="Helvetica" w:cs="Helvetica"/>
          <w:b/>
          <w:bCs/>
          <w:i/>
          <w:color w:val="222222"/>
          <w:u w:val="single"/>
          <w:shd w:val="clear" w:color="auto" w:fill="FFFFFF"/>
        </w:rPr>
        <w:t>,</w:t>
      </w:r>
      <w:r w:rsidR="00C57FCC" w:rsidRPr="00C57FCC">
        <w:rPr>
          <w:rFonts w:ascii="Helvetica" w:hAnsi="Helvetica" w:cs="Helvetica"/>
          <w:b/>
          <w:bCs/>
          <w:i/>
          <w:color w:val="222222"/>
          <w:u w:val="single"/>
          <w:shd w:val="clear" w:color="auto" w:fill="FFFFFF"/>
        </w:rPr>
        <w:t xml:space="preserve"> π</w:t>
      </w:r>
      <w:r w:rsidR="00C57FCC">
        <w:rPr>
          <w:rFonts w:ascii="Helvetica" w:hAnsi="Helvetica" w:cs="Helvetica"/>
          <w:b/>
          <w:bCs/>
          <w:i/>
          <w:color w:val="222222"/>
          <w:u w:val="single"/>
          <w:shd w:val="clear" w:color="auto" w:fill="FFFFFF"/>
        </w:rPr>
        <w:t xml:space="preserve"> </w:t>
      </w:r>
      <w:r w:rsidR="00C57FCC" w:rsidRPr="00C57FCC">
        <w:t>etkileşimleri</w:t>
      </w:r>
      <w:r w:rsidR="00C57FCC">
        <w:t>, van der waals etkileşimleri, solvasyon ve hidrofobik etkileşimler olmak üzere non-kovalent etkileşimlerle birarada tutulan molekül agregatlarını içeren sisteml</w:t>
      </w:r>
      <w:r w:rsidR="003235F0">
        <w:t>eri inceleyen bir bilim dalıdır. İki veya daha fazla kovalent molekül veya iyonun yukarıda bahsedilen non-kovalent etkileşimlerle bir araya gelmeleri sonucu oluşan türe  ise supramolekül denir.</w:t>
      </w:r>
      <w:r w:rsidR="003235F0" w:rsidRPr="003235F0">
        <w:rPr>
          <w:noProof/>
          <w:lang w:eastAsia="tr-TR"/>
        </w:rPr>
        <w:drawing>
          <wp:inline distT="0" distB="0" distL="0" distR="0">
            <wp:extent cx="5798185" cy="1035015"/>
            <wp:effectExtent l="0" t="0" r="0" b="0"/>
            <wp:docPr id="1" name="Resim 1" descr="http://www.chemistry-blog.com/wp-content/uploads/2009/07/ic0352250n00001-1024x18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hemistry-blog.com/wp-content/uploads/2009/07/ic0352250n00001-1024x184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9770" cy="1051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2366" w:rsidRDefault="00692366" w:rsidP="00692366">
      <w:pPr>
        <w:jc w:val="both"/>
      </w:pPr>
      <w:r>
        <w:t>(iki kovalent molekülün non-kovalent etkileşimlerle biraraya gelerek oluturduğu supramolekül)</w:t>
      </w:r>
    </w:p>
    <w:p w:rsidR="00692366" w:rsidRDefault="00692366" w:rsidP="00692366">
      <w:pPr>
        <w:jc w:val="both"/>
      </w:pPr>
    </w:p>
    <w:p w:rsidR="00E30DC1" w:rsidRDefault="00692366" w:rsidP="00A13DC5">
      <w:pPr>
        <w:jc w:val="both"/>
      </w:pPr>
      <w:r>
        <w:t>Supramoleküler kimya host-guest kimyası ve self-assembly şeklinde iki bü</w:t>
      </w:r>
      <w:r w:rsidR="00A13DC5">
        <w:t xml:space="preserve">yük başlık altında toplanabilir. </w:t>
      </w:r>
    </w:p>
    <w:p w:rsidR="00692366" w:rsidRDefault="00A13DC5" w:rsidP="00AC3D4E">
      <w:pPr>
        <w:jc w:val="both"/>
      </w:pPr>
      <w:r>
        <w:t xml:space="preserve">Host; merkezinde belirli bir büyüklükte boşluk bulunduran büyük bir moleküldür. Lewis bazı özelliğindeki dönor atomları veya hidrojen bağı dönorları gibi bir noktaya yönelmiş bağlanma alanlarına sahiptir. Guest; ise monoatomik bir katyon, basit bir anorganik anyon </w:t>
      </w:r>
      <w:r w:rsidR="00E30DC1">
        <w:t xml:space="preserve">veya bir iyon çifti olabilir. Lewis asidik metal katyonları veya hidrojen bağı akseptörleri gibi bir noktadan dışa doğru yönelmiş bağlanma alanlarına sahiptirler. Bir </w:t>
      </w:r>
      <w:r w:rsidR="00AC3D4E">
        <w:t>molekülün  non-kovalent etkileşimlerle ikinci bir moleküle bağlanabilmesi için uygun boyut , geometri ve fonksiyonel guruplara sahip olması gerekir. Molekülün bu özelikleri taşıyan bölgesine bağlanma alanı denir.</w:t>
      </w:r>
    </w:p>
    <w:p w:rsidR="00AC3D4E" w:rsidRDefault="00AC3D4E" w:rsidP="00AC3D4E">
      <w:pPr>
        <w:jc w:val="both"/>
      </w:pPr>
    </w:p>
    <w:p w:rsidR="00692366" w:rsidRDefault="00AC3D4E" w:rsidP="00692366">
      <w:r w:rsidRPr="00AC3D4E">
        <w:rPr>
          <w:noProof/>
          <w:lang w:eastAsia="tr-TR"/>
        </w:rPr>
        <w:drawing>
          <wp:inline distT="0" distB="0" distL="0" distR="0">
            <wp:extent cx="5760720" cy="1807929"/>
            <wp:effectExtent l="0" t="0" r="0" b="1905"/>
            <wp:docPr id="2" name="Resim 2" descr="http://eng.thesaurus.rusnano.com/upload/iblock/fae/supramolecular-chemistry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eng.thesaurus.rusnano.com/upload/iblock/fae/supramolecular-chemistry-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8079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7748" w:rsidRDefault="003E7748" w:rsidP="00692366">
      <w:r>
        <w:t>Host bileşikleri iki ana sınıfa ayrılabilirler.</w:t>
      </w:r>
    </w:p>
    <w:p w:rsidR="004702B5" w:rsidRPr="003E7748" w:rsidRDefault="003E7748" w:rsidP="003E7748">
      <w:r w:rsidRPr="003E7748">
        <w:rPr>
          <w:color w:val="C00000"/>
          <w:u w:val="single"/>
        </w:rPr>
        <w:t>1.cavitand’lar</w:t>
      </w:r>
      <w:r w:rsidRPr="003E7748">
        <w:t xml:space="preserve">; </w:t>
      </w:r>
      <w:r>
        <w:t>molekül içi boşluklara sahip hostlardır.</w:t>
      </w:r>
      <w:r w:rsidR="004702B5">
        <w:t xml:space="preserve"> Bu guest’in </w:t>
      </w:r>
      <w:r>
        <w:t xml:space="preserve">bağlanması için </w:t>
      </w:r>
      <w:r w:rsidR="004702B5">
        <w:t>uygun durumda olan boşluğun molekülün kendisinde var olan bir özelliği olduğu anlamını taşır.</w:t>
      </w:r>
    </w:p>
    <w:p w:rsidR="004702B5" w:rsidRDefault="004702B5" w:rsidP="00692366">
      <w:r w:rsidRPr="004702B5">
        <w:rPr>
          <w:color w:val="C00000"/>
          <w:u w:val="single"/>
        </w:rPr>
        <w:lastRenderedPageBreak/>
        <w:t>2.clathrand’lar</w:t>
      </w:r>
      <w:r>
        <w:t>; molekül dışı boşluklara sahip hostlardır. Burada kastedilen aslında iki veya daha fazla host molekülü arasındaki boşluktur.</w:t>
      </w:r>
    </w:p>
    <w:p w:rsidR="00AD26CF" w:rsidRDefault="00282A08" w:rsidP="00AD26CF">
      <w:r>
        <w:t>Self – assembly; iki veya daha fazla bileşenin  birarada tutulan daha büyük agregatlar oluşturmak üzere kendiliklerinden ve tersinir bir biçimde biraraya gelmeleridir. Bu biraraya geliş de yine non-kovalent etkileşimlerle sağlanmaktadır.</w:t>
      </w:r>
    </w:p>
    <w:p w:rsidR="0043708B" w:rsidRDefault="005714EF" w:rsidP="00AD26CF">
      <w:pPr>
        <w:rPr>
          <w:noProof/>
          <w:lang w:eastAsia="tr-TR"/>
        </w:rPr>
      </w:pPr>
      <w:r>
        <w:rPr>
          <w:noProof/>
          <w:lang w:eastAsia="tr-TR"/>
        </w:rPr>
        <w:t>B</w:t>
      </w:r>
      <w:r w:rsidR="002F43DA">
        <w:rPr>
          <w:noProof/>
          <w:lang w:eastAsia="tr-TR"/>
        </w:rPr>
        <w:drawing>
          <wp:inline distT="0" distB="0" distL="0" distR="0" wp14:anchorId="2D291FB7" wp14:editId="1DB28593">
            <wp:extent cx="5759786" cy="5133975"/>
            <wp:effectExtent l="0" t="0" r="0" b="0"/>
            <wp:docPr id="3" name="Resim 3" descr="http://www.beilstein-journals.org/bjoc/content/inline/1860-5397-6-122-i3.png?scale=2.0&amp;max-width=1024&amp;background=FFFF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www.beilstein-journals.org/bjoc/content/inline/1860-5397-6-122-i3.png?scale=2.0&amp;max-width=1024&amp;background=FFFFF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0432" cy="51612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708B" w:rsidRDefault="0043708B" w:rsidP="00AD26CF">
      <w:pPr>
        <w:rPr>
          <w:noProof/>
          <w:lang w:eastAsia="tr-TR"/>
        </w:rPr>
      </w:pPr>
    </w:p>
    <w:p w:rsidR="00AD26CF" w:rsidRPr="005714EF" w:rsidRDefault="002F43DA" w:rsidP="00AD26CF">
      <w:r w:rsidRPr="002F43DA">
        <w:rPr>
          <w:color w:val="C00000"/>
          <w:u w:val="single"/>
        </w:rPr>
        <w:t>Katyon bağlayan hostlar;</w:t>
      </w:r>
    </w:p>
    <w:p w:rsidR="0054217D" w:rsidRDefault="002F43DA" w:rsidP="002F43DA">
      <w:r>
        <w:t>Pedersen tarafından keşfedilen di-benzo</w:t>
      </w:r>
      <w:r w:rsidR="004535A0">
        <w:t xml:space="preserve"> (18)-crown-6 molekülü örnek olarak gösterilebilir. Bu molekül benzen gibi organik solventlerde KMnO4 gibi </w:t>
      </w:r>
      <w:r w:rsidR="005714EF">
        <w:t>anorganik tuzların çözünmesini sağlar. Bu</w:t>
      </w:r>
    </w:p>
    <w:p w:rsidR="0054217D" w:rsidRDefault="005714EF" w:rsidP="002F43DA">
      <w:r>
        <w:t xml:space="preserve">özelliği sayesinde bu bileşik </w:t>
      </w:r>
      <w:r>
        <w:rPr>
          <w:noProof/>
          <w:lang w:eastAsia="tr-TR"/>
        </w:rPr>
        <w:drawing>
          <wp:inline distT="0" distB="0" distL="0" distR="0" wp14:anchorId="71479CB9" wp14:editId="0FF6874F">
            <wp:extent cx="1733550" cy="1038225"/>
            <wp:effectExtent l="0" t="0" r="0" b="9525"/>
            <wp:docPr id="6" name="Resim 6" descr="http://www.tcichemicals.com/image/commodity/D153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www.tcichemicals.com/image/commodity/D1533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faz transfer katalizörü olarak kullanılırlar.</w:t>
      </w:r>
    </w:p>
    <w:p w:rsidR="0043708B" w:rsidRDefault="0043708B" w:rsidP="0043708B">
      <w:pPr>
        <w:rPr>
          <w:color w:val="C00000"/>
          <w:sz w:val="28"/>
          <w:szCs w:val="28"/>
        </w:rPr>
      </w:pPr>
    </w:p>
    <w:p w:rsidR="00610D48" w:rsidRDefault="005714EF" w:rsidP="00610D48">
      <w:r w:rsidRPr="005714EF">
        <w:rPr>
          <w:color w:val="C00000"/>
          <w:sz w:val="28"/>
          <w:szCs w:val="28"/>
        </w:rPr>
        <w:t>Kaliksarenler;</w:t>
      </w:r>
      <w:r>
        <w:rPr>
          <w:color w:val="C00000"/>
          <w:sz w:val="28"/>
          <w:szCs w:val="28"/>
        </w:rPr>
        <w:t xml:space="preserve"> </w:t>
      </w:r>
      <w:r w:rsidRPr="005714EF">
        <w:t xml:space="preserve">çok yönlü </w:t>
      </w:r>
      <w:r>
        <w:t xml:space="preserve">hostlar olup fonksiyonalizasyon tür ve derecelerine bağlı olarak katyonları, anyonları ve nötral molekülleri </w:t>
      </w:r>
      <w:r w:rsidR="0054217D">
        <w:t>guest olarak kabul edebilirler.</w:t>
      </w:r>
      <w:r w:rsidR="0054217D" w:rsidRPr="0054217D">
        <w:rPr>
          <w:noProof/>
          <w:lang w:eastAsia="tr-TR"/>
        </w:rPr>
        <w:t xml:space="preserve"> </w:t>
      </w:r>
      <w:r w:rsidR="0054217D" w:rsidRPr="0043708B">
        <w:rPr>
          <w:noProof/>
          <w:lang w:eastAsia="tr-TR"/>
        </w:rPr>
        <w:drawing>
          <wp:inline distT="0" distB="0" distL="0" distR="0" wp14:anchorId="4BC7054D" wp14:editId="1ECFAE57">
            <wp:extent cx="5876925" cy="2656840"/>
            <wp:effectExtent l="0" t="0" r="9525" b="0"/>
            <wp:docPr id="8" name="Resim 8" descr="http://nicprostszego.files.wordpress.com/2013/11/kaliksaren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://nicprostszego.files.wordpress.com/2013/11/kaliksareny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6940" cy="26568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3708B" w:rsidRPr="00610D48">
        <w:rPr>
          <w:color w:val="C00000"/>
          <w:sz w:val="28"/>
          <w:szCs w:val="28"/>
          <w:u w:val="single"/>
        </w:rPr>
        <w:t>Hidrokarbon hostlar;</w:t>
      </w:r>
      <w:r w:rsidR="0043708B" w:rsidRPr="00610D48">
        <w:rPr>
          <w:color w:val="C00000"/>
        </w:rPr>
        <w:t xml:space="preserve"> </w:t>
      </w:r>
      <w:r w:rsidR="0043708B">
        <w:t>kompleksleşme için hetero atom donörlerin varlığı zorunlu değildir</w:t>
      </w:r>
      <w:r w:rsidR="00610D48">
        <w:t>.</w:t>
      </w:r>
      <w:r w:rsidR="00610D48" w:rsidRPr="00610D48">
        <w:rPr>
          <w:noProof/>
          <w:lang w:eastAsia="tr-TR"/>
        </w:rPr>
        <w:t xml:space="preserve"> </w:t>
      </w:r>
      <w:r w:rsidR="00610D48">
        <w:rPr>
          <w:noProof/>
          <w:lang w:eastAsia="tr-TR"/>
        </w:rPr>
        <w:drawing>
          <wp:inline distT="0" distB="0" distL="0" distR="0" wp14:anchorId="78BE1045" wp14:editId="5B848A36">
            <wp:extent cx="2857500" cy="2038350"/>
            <wp:effectExtent l="0" t="0" r="0" b="0"/>
            <wp:docPr id="9" name="Resim 9" descr="http://www.kimyasanal.com/yukle/bj3d1f5vqu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://www.kimyasanal.com/yukle/bj3d1f5vqu_1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03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708B" w:rsidRDefault="00610D48" w:rsidP="00610D48">
      <w:r w:rsidRPr="00610D48">
        <w:rPr>
          <w:color w:val="C00000"/>
          <w:sz w:val="28"/>
          <w:szCs w:val="28"/>
          <w:u w:val="single"/>
        </w:rPr>
        <w:t>Siderophores;</w:t>
      </w:r>
      <w:r w:rsidRPr="00610D48">
        <w:rPr>
          <w:color w:val="C00000"/>
        </w:rPr>
        <w:t xml:space="preserve"> </w:t>
      </w:r>
      <w:r>
        <w:t>Doğal olarak oluşan ve Fe+3 taşıyan ligandlardır. Örnek olarak mycobactin, enterobactin ve corynebactin verilebilir.</w:t>
      </w:r>
    </w:p>
    <w:p w:rsidR="00141972" w:rsidRDefault="00141972" w:rsidP="00610D48"/>
    <w:p w:rsidR="00141972" w:rsidRDefault="00141972" w:rsidP="00610D48">
      <w:r>
        <w:rPr>
          <w:noProof/>
          <w:lang w:eastAsia="tr-TR"/>
        </w:rPr>
        <w:drawing>
          <wp:inline distT="0" distB="0" distL="0" distR="0">
            <wp:extent cx="2381250" cy="2114550"/>
            <wp:effectExtent l="0" t="0" r="0" b="0"/>
            <wp:docPr id="12" name="Resim 12" descr="http://upload.wikimedia.org/wikipedia/commons/thumb/4/48/Enterobactin.svg/250px-Enterobactin.sv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upload.wikimedia.org/wikipedia/commons/thumb/4/48/Enterobactin.svg/250px-Enterobactin.svg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1972" w:rsidRPr="00141972" w:rsidRDefault="00141972" w:rsidP="00610D48">
      <w:pPr>
        <w:rPr>
          <w:color w:val="C00000"/>
          <w:sz w:val="28"/>
          <w:szCs w:val="28"/>
          <w:u w:val="single"/>
        </w:rPr>
      </w:pPr>
      <w:r w:rsidRPr="00141972">
        <w:rPr>
          <w:color w:val="C00000"/>
          <w:sz w:val="28"/>
          <w:szCs w:val="28"/>
          <w:u w:val="single"/>
        </w:rPr>
        <w:lastRenderedPageBreak/>
        <w:t>Anyon bağlanması;</w:t>
      </w:r>
    </w:p>
    <w:p w:rsidR="00141972" w:rsidRDefault="00141972" w:rsidP="00141972">
      <w:pPr>
        <w:pStyle w:val="ListeParagraf"/>
        <w:numPr>
          <w:ilvl w:val="0"/>
          <w:numId w:val="2"/>
        </w:numPr>
      </w:pPr>
      <w:r>
        <w:t>Hostlar katapinandlar olarak adlandırılır.</w:t>
      </w:r>
    </w:p>
    <w:p w:rsidR="00A93E29" w:rsidRDefault="00141972" w:rsidP="00A93E29">
      <w:pPr>
        <w:pStyle w:val="ListeParagraf"/>
        <w:numPr>
          <w:ilvl w:val="0"/>
          <w:numId w:val="2"/>
        </w:numPr>
      </w:pPr>
      <w:r>
        <w:t>Anyonlar katyonlara nazaran büyüktürler ve bu nedenle daha büyük reseptörlere ihtiyaç duyarlar.</w:t>
      </w:r>
    </w:p>
    <w:p w:rsidR="00A93E29" w:rsidRDefault="00A93E29" w:rsidP="00A93E29"/>
    <w:p w:rsidR="00A9717E" w:rsidRDefault="00A93E29" w:rsidP="00A93E29">
      <w:pPr>
        <w:rPr>
          <w:noProof/>
          <w:lang w:eastAsia="tr-TR"/>
        </w:rPr>
      </w:pPr>
      <w:r w:rsidRPr="00A93E29">
        <w:rPr>
          <w:color w:val="C00000"/>
          <w:sz w:val="28"/>
          <w:szCs w:val="28"/>
          <w:u w:val="single"/>
        </w:rPr>
        <w:t>Template etki ve aşırı seyreltme;</w:t>
      </w:r>
      <w:r>
        <w:t xml:space="preserve"> supramoleküler hostların sentezinde kullanılan en genel ve en etkili iki yöntemdir.</w:t>
      </w:r>
      <w:r w:rsidRPr="00A93E29">
        <w:rPr>
          <w:noProof/>
          <w:lang w:eastAsia="tr-TR"/>
        </w:rPr>
        <w:t xml:space="preserve"> </w:t>
      </w:r>
    </w:p>
    <w:p w:rsidR="00A9717E" w:rsidRDefault="00A93E29" w:rsidP="00A93E29">
      <w:r>
        <w:rPr>
          <w:noProof/>
          <w:lang w:eastAsia="tr-TR"/>
        </w:rPr>
        <w:drawing>
          <wp:inline distT="0" distB="0" distL="0" distR="0" wp14:anchorId="57130152" wp14:editId="4FE3C95B">
            <wp:extent cx="5760720" cy="4898258"/>
            <wp:effectExtent l="0" t="0" r="0" b="0"/>
            <wp:docPr id="4" name="Resim 4" descr="http://eng.thesaurus.rusnano.com/upload/iblock/aea/template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eng.thesaurus.rusnano.com/upload/iblock/aea/template_1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8982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3E29" w:rsidRDefault="00A9717E" w:rsidP="00A9717E">
      <w:r>
        <w:t>18-crown-6 sentezi KOH eşliğinde yapıldığında podand yapıdaki çıkış bileşiğinin halkalaşma için uygun pozisyonu alması termo dinamik güçlüklerin hafifletilmesi hasebiyle daha kolaydır.bu olay template etki olarak tanımlanır.</w:t>
      </w:r>
    </w:p>
    <w:p w:rsidR="00A9717E" w:rsidRDefault="00A9717E" w:rsidP="00A9717E">
      <w:r>
        <w:t xml:space="preserve">Yine yukarıdaki reaksiyon aşırı seyreltik ortamda yapılırsa halkalaşma hızının polimerleşme hızına </w:t>
      </w:r>
      <w:bookmarkStart w:id="0" w:name="_GoBack"/>
      <w:bookmarkEnd w:id="0"/>
      <w:r>
        <w:t>oranı artar.</w:t>
      </w:r>
    </w:p>
    <w:p w:rsidR="00A9717E" w:rsidRPr="005B6960" w:rsidRDefault="00A9717E" w:rsidP="005B6960">
      <w:pPr>
        <w:rPr>
          <w:color w:val="C00000"/>
          <w:sz w:val="28"/>
          <w:szCs w:val="28"/>
          <w:u w:val="single"/>
        </w:rPr>
      </w:pPr>
      <w:r w:rsidRPr="005B6960">
        <w:rPr>
          <w:color w:val="C00000"/>
          <w:sz w:val="28"/>
          <w:szCs w:val="28"/>
          <w:u w:val="single"/>
        </w:rPr>
        <w:t>Kaynakça;</w:t>
      </w:r>
    </w:p>
    <w:p w:rsidR="005B6960" w:rsidRDefault="005B6960" w:rsidP="005B6960">
      <w:pPr>
        <w:pStyle w:val="ListeParagraf"/>
        <w:numPr>
          <w:ilvl w:val="0"/>
          <w:numId w:val="3"/>
        </w:numPr>
      </w:pPr>
      <w:r>
        <w:t>Jean-Marie Lehn ; synthesis of the first cryptands</w:t>
      </w:r>
    </w:p>
    <w:p w:rsidR="005B6960" w:rsidRDefault="005B6960" w:rsidP="005B6960">
      <w:pPr>
        <w:pStyle w:val="ListeParagraf"/>
        <w:numPr>
          <w:ilvl w:val="0"/>
          <w:numId w:val="3"/>
        </w:numPr>
      </w:pPr>
      <w:r>
        <w:t>Donald Cram ; spherand hosts produced to test the importance of preorganisation</w:t>
      </w:r>
    </w:p>
    <w:p w:rsidR="005B6960" w:rsidRPr="00A9717E" w:rsidRDefault="005B6960" w:rsidP="005B6960">
      <w:pPr>
        <w:pStyle w:val="ListeParagraf"/>
        <w:numPr>
          <w:ilvl w:val="0"/>
          <w:numId w:val="3"/>
        </w:numPr>
      </w:pPr>
      <w:hyperlink r:id="rId15" w:history="1">
        <w:r>
          <w:rPr>
            <w:rStyle w:val="Kpr"/>
          </w:rPr>
          <w:t>http://en.wikipedia.org/wiki/Supramolecular_chemistry</w:t>
        </w:r>
      </w:hyperlink>
    </w:p>
    <w:sectPr w:rsidR="005B6960" w:rsidRPr="00A9717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0F52" w:rsidRDefault="00E70F52" w:rsidP="004535A0">
      <w:pPr>
        <w:spacing w:after="0" w:line="240" w:lineRule="auto"/>
      </w:pPr>
      <w:r>
        <w:separator/>
      </w:r>
    </w:p>
  </w:endnote>
  <w:endnote w:type="continuationSeparator" w:id="0">
    <w:p w:rsidR="00E70F52" w:rsidRDefault="00E70F52" w:rsidP="004535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0F52" w:rsidRDefault="00E70F52" w:rsidP="004535A0">
      <w:pPr>
        <w:spacing w:after="0" w:line="240" w:lineRule="auto"/>
      </w:pPr>
      <w:r>
        <w:separator/>
      </w:r>
    </w:p>
  </w:footnote>
  <w:footnote w:type="continuationSeparator" w:id="0">
    <w:p w:rsidR="00E70F52" w:rsidRDefault="00E70F52" w:rsidP="004535A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AA513AD"/>
    <w:multiLevelType w:val="hybridMultilevel"/>
    <w:tmpl w:val="F406394A"/>
    <w:lvl w:ilvl="0" w:tplc="EDC897D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F941422"/>
    <w:multiLevelType w:val="hybridMultilevel"/>
    <w:tmpl w:val="90B297AA"/>
    <w:lvl w:ilvl="0" w:tplc="EDC897D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1805658"/>
    <w:multiLevelType w:val="hybridMultilevel"/>
    <w:tmpl w:val="4CBEA49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6D8D"/>
    <w:rsid w:val="00067319"/>
    <w:rsid w:val="000F4462"/>
    <w:rsid w:val="00141972"/>
    <w:rsid w:val="00181E94"/>
    <w:rsid w:val="0019318C"/>
    <w:rsid w:val="00246E87"/>
    <w:rsid w:val="00282A08"/>
    <w:rsid w:val="002F43DA"/>
    <w:rsid w:val="003235F0"/>
    <w:rsid w:val="003E7748"/>
    <w:rsid w:val="0043708B"/>
    <w:rsid w:val="004535A0"/>
    <w:rsid w:val="004702B5"/>
    <w:rsid w:val="0054217D"/>
    <w:rsid w:val="005714EF"/>
    <w:rsid w:val="005B6960"/>
    <w:rsid w:val="00610D48"/>
    <w:rsid w:val="00692366"/>
    <w:rsid w:val="0077776E"/>
    <w:rsid w:val="00796D8D"/>
    <w:rsid w:val="007E682A"/>
    <w:rsid w:val="00A13DC5"/>
    <w:rsid w:val="00A93E29"/>
    <w:rsid w:val="00A9717E"/>
    <w:rsid w:val="00AC3D4E"/>
    <w:rsid w:val="00AD26CF"/>
    <w:rsid w:val="00C57FCC"/>
    <w:rsid w:val="00E30DC1"/>
    <w:rsid w:val="00E6640E"/>
    <w:rsid w:val="00E70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76A3189-0983-4BD7-8580-AD6A8DD32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4535A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4535A0"/>
  </w:style>
  <w:style w:type="paragraph" w:styleId="Altbilgi">
    <w:name w:val="footer"/>
    <w:basedOn w:val="Normal"/>
    <w:link w:val="AltbilgiChar"/>
    <w:uiPriority w:val="99"/>
    <w:unhideWhenUsed/>
    <w:rsid w:val="004535A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4535A0"/>
  </w:style>
  <w:style w:type="paragraph" w:styleId="AralkYok">
    <w:name w:val="No Spacing"/>
    <w:uiPriority w:val="1"/>
    <w:qFormat/>
    <w:rsid w:val="0043708B"/>
    <w:pPr>
      <w:spacing w:after="0" w:line="240" w:lineRule="auto"/>
    </w:pPr>
  </w:style>
  <w:style w:type="paragraph" w:styleId="ListeParagraf">
    <w:name w:val="List Paragraph"/>
    <w:basedOn w:val="Normal"/>
    <w:uiPriority w:val="34"/>
    <w:qFormat/>
    <w:rsid w:val="00141972"/>
    <w:pPr>
      <w:ind w:left="720"/>
      <w:contextualSpacing/>
    </w:pPr>
  </w:style>
  <w:style w:type="character" w:styleId="Kpr">
    <w:name w:val="Hyperlink"/>
    <w:basedOn w:val="VarsaylanParagrafYazTipi"/>
    <w:uiPriority w:val="99"/>
    <w:semiHidden/>
    <w:unhideWhenUsed/>
    <w:rsid w:val="005B696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12" Type="http://schemas.openxmlformats.org/officeDocument/2006/relationships/image" Target="media/image6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hyperlink" Target="http://en.wikipedia.org/wiki/Supramolecular_chemistry" TargetMode="External"/><Relationship Id="rId10" Type="http://schemas.openxmlformats.org/officeDocument/2006/relationships/image" Target="media/image4.gif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</TotalTime>
  <Pages>4</Pages>
  <Words>571</Words>
  <Characters>3258</Characters>
  <Application>Microsoft Office Word</Application>
  <DocSecurity>0</DocSecurity>
  <Lines>27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vucar</dc:creator>
  <cp:keywords/>
  <dc:description/>
  <cp:lastModifiedBy>vucar</cp:lastModifiedBy>
  <cp:revision>3</cp:revision>
  <dcterms:created xsi:type="dcterms:W3CDTF">2014-01-08T20:14:00Z</dcterms:created>
  <dcterms:modified xsi:type="dcterms:W3CDTF">2014-01-09T05:02:00Z</dcterms:modified>
</cp:coreProperties>
</file>